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B00C41" w:rsidRPr="0077488D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  <w:r w:rsidRPr="0077488D">
        <w:rPr>
          <w:rFonts w:asciiTheme="minorBidi" w:hAnsiTheme="minorBidi"/>
          <w:b/>
          <w:bCs/>
          <w:sz w:val="32"/>
          <w:szCs w:val="32"/>
        </w:rPr>
        <w:t>FICHE DE POSTE</w:t>
      </w:r>
    </w:p>
    <w:p w:rsidR="00B00C41" w:rsidRPr="00E86FE5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</w:p>
    <w:tbl>
      <w:tblPr>
        <w:tblStyle w:val="Grilledutableau"/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B00C41" w:rsidTr="00B00C41">
        <w:trPr>
          <w:trHeight w:val="800"/>
        </w:trPr>
        <w:tc>
          <w:tcPr>
            <w:tcW w:w="2552" w:type="dxa"/>
            <w:shd w:val="clear" w:color="auto" w:fill="DEEAF6" w:themeFill="accent1" w:themeFillTint="33"/>
            <w:vAlign w:val="center"/>
          </w:tcPr>
          <w:p w:rsidR="00B00C41" w:rsidRDefault="00B00C41" w:rsidP="00C859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00C41" w:rsidRDefault="00B00C41" w:rsidP="00C859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7E8C">
              <w:rPr>
                <w:rFonts w:asciiTheme="minorBidi" w:hAnsiTheme="minorBidi"/>
                <w:b/>
                <w:bCs/>
                <w:sz w:val="26"/>
                <w:szCs w:val="26"/>
              </w:rPr>
              <w:t>Département</w:t>
            </w:r>
            <w:r w:rsidRPr="00EA3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d’appartenance</w:t>
            </w:r>
          </w:p>
          <w:p w:rsidR="00B00C41" w:rsidRPr="00EA3F4C" w:rsidRDefault="00B00C41" w:rsidP="00C8593C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DEEAF6" w:themeFill="accent1" w:themeFillTint="33"/>
            <w:vAlign w:val="center"/>
          </w:tcPr>
          <w:p w:rsidR="00B00C41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27E8C">
              <w:rPr>
                <w:rFonts w:asciiTheme="minorBidi" w:hAnsiTheme="minorBidi"/>
                <w:b/>
                <w:bCs/>
                <w:sz w:val="26"/>
                <w:szCs w:val="26"/>
              </w:rPr>
              <w:t>Département de la Sécurité des Infrastructures et</w:t>
            </w:r>
          </w:p>
          <w:p w:rsidR="00B00C41" w:rsidRPr="00327E8C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327E8C">
              <w:rPr>
                <w:rFonts w:asciiTheme="minorBidi" w:hAnsiTheme="minorBidi"/>
                <w:b/>
                <w:bCs/>
                <w:sz w:val="26"/>
                <w:szCs w:val="26"/>
              </w:rPr>
              <w:t>de l’Accompagnement des Collectivités Locales</w:t>
            </w:r>
          </w:p>
        </w:tc>
      </w:tr>
      <w:tr w:rsidR="00B00C41" w:rsidTr="00B00C41">
        <w:trPr>
          <w:trHeight w:val="800"/>
        </w:trPr>
        <w:tc>
          <w:tcPr>
            <w:tcW w:w="2552" w:type="dxa"/>
            <w:shd w:val="clear" w:color="auto" w:fill="0070C0"/>
            <w:vAlign w:val="center"/>
          </w:tcPr>
          <w:p w:rsidR="00B00C41" w:rsidRPr="008A6943" w:rsidRDefault="00B00C41" w:rsidP="00C8593C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</w:p>
          <w:p w:rsidR="00B00C41" w:rsidRPr="008A6943" w:rsidRDefault="00B00C41" w:rsidP="00C8593C">
            <w:pPr>
              <w:ind w:left="-108" w:right="-246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8A6943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 xml:space="preserve">Intitulé du poste à pourvoir </w:t>
            </w:r>
          </w:p>
          <w:p w:rsidR="00B00C41" w:rsidRPr="008A6943" w:rsidRDefault="00B00C41" w:rsidP="00C8593C">
            <w:pPr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4" w:type="dxa"/>
            <w:shd w:val="clear" w:color="auto" w:fill="0070C0"/>
            <w:vAlign w:val="center"/>
          </w:tcPr>
          <w:p w:rsidR="00B00C41" w:rsidRPr="008A6943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Theme="minorBidi" w:hAnsiTheme="minorBidi"/>
                <w:b/>
                <w:bCs/>
                <w:color w:val="FFFFFF" w:themeColor="background1"/>
                <w:sz w:val="26"/>
                <w:szCs w:val="26"/>
              </w:rPr>
              <w:t xml:space="preserve">Le Service </w:t>
            </w:r>
            <w:r w:rsidRPr="008A6943">
              <w:rPr>
                <w:rFonts w:asciiTheme="minorBidi" w:hAnsiTheme="minorBidi"/>
                <w:b/>
                <w:bCs/>
                <w:color w:val="FFFFFF" w:themeColor="background1"/>
                <w:sz w:val="26"/>
                <w:szCs w:val="26"/>
              </w:rPr>
              <w:t>Accompagnement des Collectivités Locales</w:t>
            </w:r>
          </w:p>
        </w:tc>
      </w:tr>
      <w:tr w:rsidR="00B00C41" w:rsidTr="00B00C41">
        <w:tc>
          <w:tcPr>
            <w:tcW w:w="2552" w:type="dxa"/>
            <w:vAlign w:val="center"/>
          </w:tcPr>
          <w:p w:rsidR="00B00C41" w:rsidRPr="0077488D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7488D">
              <w:rPr>
                <w:rFonts w:asciiTheme="minorBidi" w:hAnsiTheme="minorBidi"/>
                <w:b/>
                <w:bCs/>
                <w:sz w:val="26"/>
                <w:szCs w:val="26"/>
              </w:rPr>
              <w:t>Missions Principales</w:t>
            </w:r>
          </w:p>
        </w:tc>
        <w:tc>
          <w:tcPr>
            <w:tcW w:w="7654" w:type="dxa"/>
            <w:vAlign w:val="center"/>
          </w:tcPr>
          <w:p w:rsidR="00B00C41" w:rsidRPr="008A6943" w:rsidRDefault="00B00C41" w:rsidP="00C8593C">
            <w:pPr>
              <w:pStyle w:val="Paragraphedeliste"/>
              <w:ind w:left="157" w:right="321"/>
              <w:rPr>
                <w:rFonts w:ascii="Arial" w:hAnsi="Arial" w:cs="Arial"/>
                <w:sz w:val="4"/>
                <w:szCs w:val="4"/>
              </w:rPr>
            </w:pPr>
          </w:p>
          <w:p w:rsidR="00B00C41" w:rsidRDefault="00B00C41" w:rsidP="00B00C41">
            <w:pPr>
              <w:pStyle w:val="Paragraphedeliste"/>
              <w:numPr>
                <w:ilvl w:val="0"/>
                <w:numId w:val="1"/>
              </w:numPr>
              <w:ind w:left="157" w:right="321" w:hanging="142"/>
              <w:rPr>
                <w:rFonts w:ascii="Arial" w:hAnsi="Arial" w:cs="Arial"/>
                <w:sz w:val="24"/>
                <w:szCs w:val="24"/>
              </w:rPr>
            </w:pPr>
            <w:r w:rsidRPr="00F156C5">
              <w:rPr>
                <w:rFonts w:ascii="Arial" w:hAnsi="Arial" w:cs="Arial"/>
                <w:sz w:val="24"/>
                <w:szCs w:val="24"/>
              </w:rPr>
              <w:t>Développer des partenariats et instaurer une relation dans la durée avec les collectivités locales pour permettre une meilleure intégration des normes et réglementations de sécurité routière dans les infrastructures urbaines</w:t>
            </w:r>
          </w:p>
          <w:p w:rsidR="00B00C41" w:rsidRPr="00F156C5" w:rsidRDefault="00B00C41" w:rsidP="00C8593C">
            <w:pPr>
              <w:pStyle w:val="Paragraphedeliste"/>
              <w:ind w:left="157" w:right="321"/>
              <w:rPr>
                <w:rFonts w:ascii="Arial" w:hAnsi="Arial" w:cs="Arial"/>
                <w:sz w:val="24"/>
                <w:szCs w:val="24"/>
              </w:rPr>
            </w:pPr>
          </w:p>
          <w:p w:rsidR="00B00C41" w:rsidRPr="00F156C5" w:rsidRDefault="00B00C41" w:rsidP="00B00C41">
            <w:pPr>
              <w:pStyle w:val="Paragraphedeliste"/>
              <w:numPr>
                <w:ilvl w:val="0"/>
                <w:numId w:val="1"/>
              </w:numPr>
              <w:ind w:left="157" w:right="321" w:hanging="142"/>
              <w:rPr>
                <w:rFonts w:ascii="Arial" w:hAnsi="Arial" w:cs="Arial"/>
                <w:sz w:val="24"/>
                <w:szCs w:val="24"/>
              </w:rPr>
            </w:pPr>
            <w:r w:rsidRPr="00F156C5">
              <w:rPr>
                <w:rFonts w:ascii="Arial" w:hAnsi="Arial" w:cs="Arial"/>
                <w:sz w:val="24"/>
                <w:szCs w:val="24"/>
              </w:rPr>
              <w:t xml:space="preserve">Développer et instaurer des programmes pour l’homogénéisation de la signalisation et des aménagements de la sécurité routière en milieu urbain </w:t>
            </w:r>
          </w:p>
          <w:p w:rsidR="00B00C41" w:rsidRPr="00F156C5" w:rsidRDefault="00B00C41" w:rsidP="00C8593C">
            <w:pPr>
              <w:pStyle w:val="Paragraphedeliste"/>
              <w:ind w:left="157" w:right="321"/>
              <w:rPr>
                <w:rFonts w:ascii="Arial" w:hAnsi="Arial" w:cs="Arial"/>
                <w:sz w:val="24"/>
                <w:szCs w:val="24"/>
              </w:rPr>
            </w:pPr>
          </w:p>
          <w:p w:rsidR="00B00C41" w:rsidRPr="00F156C5" w:rsidRDefault="00B00C41" w:rsidP="00B00C41">
            <w:pPr>
              <w:pStyle w:val="Paragraphedeliste"/>
              <w:numPr>
                <w:ilvl w:val="0"/>
                <w:numId w:val="1"/>
              </w:numPr>
              <w:ind w:left="157" w:right="321" w:hanging="142"/>
              <w:rPr>
                <w:rFonts w:ascii="Arial" w:hAnsi="Arial" w:cs="Arial"/>
                <w:sz w:val="24"/>
                <w:szCs w:val="24"/>
              </w:rPr>
            </w:pPr>
            <w:r w:rsidRPr="00F156C5">
              <w:rPr>
                <w:rFonts w:ascii="Arial" w:hAnsi="Arial" w:cs="Arial"/>
                <w:sz w:val="24"/>
                <w:szCs w:val="24"/>
              </w:rPr>
              <w:t>Promouvoir l’intégration de la sécurité routière dans la planification et réalisation des programmes d’aménagement local</w:t>
            </w:r>
          </w:p>
          <w:p w:rsidR="00B00C41" w:rsidRPr="008A6943" w:rsidRDefault="00B00C41" w:rsidP="00C8593C">
            <w:pPr>
              <w:pStyle w:val="Paragraphedeliste"/>
              <w:ind w:left="157" w:right="32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052FD" w:rsidRDefault="004052FD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Pr="0077488D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  <w:r w:rsidRPr="0077488D">
        <w:rPr>
          <w:rFonts w:asciiTheme="minorBidi" w:hAnsiTheme="minorBidi"/>
          <w:b/>
          <w:bCs/>
          <w:sz w:val="32"/>
          <w:szCs w:val="32"/>
        </w:rPr>
        <w:t>FICHE DE POSTE</w:t>
      </w: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Grilledutableau"/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B00C41" w:rsidRPr="00327E8C" w:rsidTr="00B00C41">
        <w:trPr>
          <w:trHeight w:val="670"/>
        </w:trPr>
        <w:tc>
          <w:tcPr>
            <w:tcW w:w="2410" w:type="dxa"/>
            <w:shd w:val="clear" w:color="auto" w:fill="BDD6EE" w:themeFill="accent1" w:themeFillTint="66"/>
            <w:vAlign w:val="center"/>
          </w:tcPr>
          <w:p w:rsidR="00B00C41" w:rsidRPr="00B46E00" w:rsidRDefault="00B00C41" w:rsidP="00C859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2414">
              <w:rPr>
                <w:rFonts w:asciiTheme="minorBidi" w:hAnsiTheme="minorBidi"/>
                <w:b/>
                <w:bCs/>
                <w:sz w:val="26"/>
                <w:szCs w:val="26"/>
              </w:rPr>
              <w:t>Département</w:t>
            </w:r>
            <w:r w:rsidRPr="00EA3F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d’appartenance</w:t>
            </w:r>
          </w:p>
        </w:tc>
        <w:tc>
          <w:tcPr>
            <w:tcW w:w="7796" w:type="dxa"/>
            <w:shd w:val="clear" w:color="auto" w:fill="BDD6EE" w:themeFill="accent1" w:themeFillTint="66"/>
            <w:vAlign w:val="center"/>
          </w:tcPr>
          <w:p w:rsidR="00B00C41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B00C41" w:rsidRPr="007D4AC8" w:rsidRDefault="00B00C41" w:rsidP="00C8593C">
            <w:pPr>
              <w:ind w:left="720"/>
              <w:contextualSpacing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D4AC8">
              <w:rPr>
                <w:rFonts w:asciiTheme="minorBidi" w:hAnsiTheme="minorBidi"/>
                <w:b/>
                <w:bCs/>
                <w:sz w:val="26"/>
                <w:szCs w:val="26"/>
              </w:rPr>
              <w:t>Le Centre National d’Essais et d’Homologation</w:t>
            </w:r>
          </w:p>
          <w:p w:rsidR="00B00C41" w:rsidRPr="00082414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B00C41" w:rsidRPr="00327E8C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B00C41" w:rsidRPr="00552799" w:rsidTr="00B00C41">
        <w:trPr>
          <w:trHeight w:val="670"/>
        </w:trPr>
        <w:tc>
          <w:tcPr>
            <w:tcW w:w="2410" w:type="dxa"/>
            <w:shd w:val="clear" w:color="auto" w:fill="0070C0"/>
            <w:vAlign w:val="center"/>
          </w:tcPr>
          <w:p w:rsidR="00B00C41" w:rsidRPr="00552799" w:rsidRDefault="00B00C41" w:rsidP="00C8593C">
            <w:pPr>
              <w:ind w:left="-108" w:right="-246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552799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Intitulé du poste à pourvoir</w:t>
            </w:r>
          </w:p>
        </w:tc>
        <w:tc>
          <w:tcPr>
            <w:tcW w:w="7796" w:type="dxa"/>
            <w:shd w:val="clear" w:color="auto" w:fill="0070C0"/>
            <w:vAlign w:val="bottom"/>
          </w:tcPr>
          <w:p w:rsidR="00B00C41" w:rsidRPr="00552799" w:rsidRDefault="00B00C41" w:rsidP="00C8593C">
            <w:pPr>
              <w:ind w:left="720" w:right="-56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</w:p>
          <w:p w:rsidR="00B00C41" w:rsidRPr="007D4AC8" w:rsidRDefault="00B00C41" w:rsidP="00B00C41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  <w:r w:rsidRPr="007D4AC8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 xml:space="preserve">Le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 xml:space="preserve">Service </w:t>
            </w:r>
            <w:r w:rsidRPr="007D4AC8"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  <w:t>Appui aux Organismes de Visite Technique</w:t>
            </w:r>
          </w:p>
          <w:p w:rsidR="00B00C41" w:rsidRPr="00552799" w:rsidRDefault="00B00C41" w:rsidP="00C8593C">
            <w:pPr>
              <w:contextualSpacing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B00C41" w:rsidRPr="008D625B" w:rsidTr="00B00C41">
        <w:tc>
          <w:tcPr>
            <w:tcW w:w="2410" w:type="dxa"/>
            <w:vAlign w:val="center"/>
          </w:tcPr>
          <w:p w:rsidR="00B00C41" w:rsidRPr="0077488D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7488D">
              <w:rPr>
                <w:rFonts w:asciiTheme="minorBidi" w:hAnsiTheme="minorBidi"/>
                <w:b/>
                <w:bCs/>
                <w:sz w:val="26"/>
                <w:szCs w:val="26"/>
              </w:rPr>
              <w:t>Missions Principales</w:t>
            </w:r>
          </w:p>
        </w:tc>
        <w:tc>
          <w:tcPr>
            <w:tcW w:w="7796" w:type="dxa"/>
            <w:vAlign w:val="center"/>
          </w:tcPr>
          <w:p w:rsidR="00B00C41" w:rsidRDefault="00B00C41" w:rsidP="00C8593C">
            <w:pPr>
              <w:ind w:left="720" w:right="318"/>
            </w:pP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Délivrer les autorisations des agents visiteurs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Assurer le suivi administratif des fichiers des agents visiteurs et des chefs des centres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Assurer le suivi administratif des autorisations délivrées aux réseaux et aux centres de contrôle technique des véhicules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Gérer l’accréditation et assurer le suivi des organismes de formation continue des chefs des centres et des agents visiteurs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Coordonner et suivre l’activité des organismes de contrôle technique des véhicules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Veiller au respect du cadre réglementaire en vigueur en matière de formation initiale et continue des chefs des centres et des agents visiteurs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 xml:space="preserve">Réaliser des opérations d’audit et d'inspection des réseaux, des centres de contrôle technique et des agents visiteurs 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Assurer la mise en œuvre des mesures administratives prises à l’encontre des réseaux, des centres de contrôle technique et des agents visiteurs 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Exploiter les données des contrôles techniques pour assurer un suivi des activités du secteur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Définir la périodicité, la tarification et les procédures des opérations de contrôle technique des véhicules et s’assurer de leur mise en œuvre</w:t>
            </w:r>
          </w:p>
          <w:p w:rsidR="00B00C41" w:rsidRPr="007D4AC8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</w:tabs>
              <w:ind w:left="29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AC8">
              <w:rPr>
                <w:rFonts w:ascii="Arial" w:hAnsi="Arial" w:cs="Arial"/>
                <w:sz w:val="24"/>
                <w:szCs w:val="24"/>
              </w:rPr>
              <w:t>Assurer une veille concernant les évolutions techniques et technologiques en matière de contrôle technique des véhicules</w:t>
            </w:r>
          </w:p>
          <w:p w:rsidR="00B00C41" w:rsidRPr="008D625B" w:rsidRDefault="00B00C41" w:rsidP="00C8593C">
            <w:pPr>
              <w:spacing w:after="160" w:line="259" w:lineRule="auto"/>
              <w:ind w:left="284" w:right="318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00C41" w:rsidRDefault="00B00C41"/>
    <w:p w:rsidR="00B00C41" w:rsidRDefault="00B00C41"/>
    <w:p w:rsidR="00B00C41" w:rsidRDefault="00B00C41"/>
    <w:p w:rsidR="00B00C41" w:rsidRDefault="00B00C41"/>
    <w:p w:rsidR="00B00C41" w:rsidRDefault="00B00C41"/>
    <w:p w:rsidR="00B00C41" w:rsidRDefault="00B00C41" w:rsidP="00B00C41">
      <w:pPr>
        <w:spacing w:after="0"/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B00C41" w:rsidRPr="007440AB" w:rsidRDefault="00B00C41" w:rsidP="00B00C41">
      <w:pPr>
        <w:spacing w:after="0"/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  <w:r w:rsidRPr="007440AB">
        <w:rPr>
          <w:rFonts w:asciiTheme="minorBidi" w:hAnsiTheme="minorBidi"/>
          <w:b/>
          <w:bCs/>
          <w:sz w:val="32"/>
          <w:szCs w:val="32"/>
        </w:rPr>
        <w:t>FICHE DE POSTE</w:t>
      </w:r>
    </w:p>
    <w:p w:rsidR="00B00C41" w:rsidRPr="005A3ECB" w:rsidRDefault="00B00C41" w:rsidP="00B00C41">
      <w:pPr>
        <w:spacing w:after="0" w:line="240" w:lineRule="auto"/>
        <w:ind w:left="284" w:right="-568"/>
        <w:jc w:val="center"/>
        <w:rPr>
          <w:rFonts w:asciiTheme="minorBidi" w:hAnsiTheme="minorBidi"/>
          <w:b/>
          <w:bCs/>
          <w:sz w:val="40"/>
          <w:szCs w:val="40"/>
        </w:rPr>
      </w:pPr>
    </w:p>
    <w:tbl>
      <w:tblPr>
        <w:tblStyle w:val="Grilledutableau"/>
        <w:tblW w:w="10348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938"/>
      </w:tblGrid>
      <w:tr w:rsidR="00B00C41" w:rsidRPr="007440AB" w:rsidTr="00B00C41">
        <w:trPr>
          <w:trHeight w:val="670"/>
        </w:trPr>
        <w:tc>
          <w:tcPr>
            <w:tcW w:w="2410" w:type="dxa"/>
            <w:shd w:val="clear" w:color="auto" w:fill="BDD6EE" w:themeFill="accent1" w:themeFillTint="66"/>
            <w:vAlign w:val="center"/>
          </w:tcPr>
          <w:p w:rsidR="00B00C41" w:rsidRPr="007440AB" w:rsidRDefault="00B00C41" w:rsidP="00C859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Entité </w:t>
            </w:r>
            <w:r w:rsidRPr="007440AB">
              <w:rPr>
                <w:rFonts w:ascii="Arial" w:hAnsi="Arial" w:cs="Arial"/>
                <w:b/>
                <w:bCs/>
                <w:sz w:val="24"/>
                <w:szCs w:val="24"/>
              </w:rPr>
              <w:t>d’appartenance</w:t>
            </w:r>
          </w:p>
        </w:tc>
        <w:tc>
          <w:tcPr>
            <w:tcW w:w="7938" w:type="dxa"/>
            <w:shd w:val="clear" w:color="auto" w:fill="BDD6EE" w:themeFill="accent1" w:themeFillTint="66"/>
            <w:vAlign w:val="center"/>
          </w:tcPr>
          <w:p w:rsidR="00B00C41" w:rsidRPr="007440AB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B00C41" w:rsidRPr="00DA5E17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DA5E17">
              <w:rPr>
                <w:rFonts w:asciiTheme="minorBidi" w:hAnsiTheme="minorBidi"/>
                <w:b/>
                <w:bCs/>
                <w:sz w:val="26"/>
                <w:szCs w:val="26"/>
              </w:rPr>
              <w:t>Agence Régionale de la Sécurité Routière</w:t>
            </w:r>
          </w:p>
          <w:p w:rsidR="00B00C41" w:rsidRPr="007440AB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B00C41" w:rsidRPr="007440AB" w:rsidTr="00B00C41">
        <w:trPr>
          <w:trHeight w:val="670"/>
        </w:trPr>
        <w:tc>
          <w:tcPr>
            <w:tcW w:w="2410" w:type="dxa"/>
            <w:shd w:val="clear" w:color="auto" w:fill="0070C0"/>
            <w:vAlign w:val="center"/>
          </w:tcPr>
          <w:p w:rsidR="00B00C41" w:rsidRPr="007440AB" w:rsidRDefault="00B00C41" w:rsidP="00C8593C">
            <w:pPr>
              <w:ind w:left="-108" w:right="-246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440AB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Intitulé du poste à pourvoir</w:t>
            </w:r>
          </w:p>
        </w:tc>
        <w:tc>
          <w:tcPr>
            <w:tcW w:w="7938" w:type="dxa"/>
            <w:shd w:val="clear" w:color="auto" w:fill="0070C0"/>
            <w:vAlign w:val="bottom"/>
          </w:tcPr>
          <w:p w:rsidR="00B00C41" w:rsidRPr="00042E2A" w:rsidRDefault="00B00C41" w:rsidP="00C8593C">
            <w:pPr>
              <w:ind w:left="720" w:right="318"/>
              <w:rPr>
                <w:color w:val="FFFFFF" w:themeColor="background1"/>
              </w:rPr>
            </w:pPr>
          </w:p>
          <w:p w:rsidR="00B00C41" w:rsidRPr="00DA5E17" w:rsidRDefault="00B00C41" w:rsidP="00C8593C">
            <w:pPr>
              <w:tabs>
                <w:tab w:val="left" w:pos="171"/>
                <w:tab w:val="num" w:pos="800"/>
              </w:tabs>
              <w:ind w:right="318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5E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Service p</w:t>
            </w:r>
            <w:r w:rsidRPr="005F479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rovincial de la Sécurité Routière</w:t>
            </w:r>
          </w:p>
          <w:p w:rsidR="00B00C41" w:rsidRPr="00042E2A" w:rsidRDefault="00B00C41" w:rsidP="00C8593C">
            <w:pPr>
              <w:tabs>
                <w:tab w:val="left" w:pos="171"/>
                <w:tab w:val="num" w:pos="720"/>
              </w:tabs>
              <w:ind w:left="312" w:right="318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B00C41" w:rsidRPr="007440AB" w:rsidTr="00B00C41">
        <w:tc>
          <w:tcPr>
            <w:tcW w:w="2410" w:type="dxa"/>
            <w:vAlign w:val="center"/>
          </w:tcPr>
          <w:p w:rsidR="00B00C41" w:rsidRPr="007440AB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440AB">
              <w:rPr>
                <w:rFonts w:asciiTheme="minorBidi" w:hAnsiTheme="minorBidi"/>
                <w:b/>
                <w:bCs/>
                <w:sz w:val="26"/>
                <w:szCs w:val="26"/>
              </w:rPr>
              <w:t>Missions Principales</w:t>
            </w:r>
          </w:p>
        </w:tc>
        <w:tc>
          <w:tcPr>
            <w:tcW w:w="7938" w:type="dxa"/>
            <w:vAlign w:val="center"/>
          </w:tcPr>
          <w:p w:rsidR="00B00C41" w:rsidRPr="00042E2A" w:rsidRDefault="00B00C41" w:rsidP="00C8593C">
            <w:pPr>
              <w:tabs>
                <w:tab w:val="left" w:pos="171"/>
              </w:tabs>
              <w:ind w:left="312" w:right="31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Assurer la coordination locale avec les différents acteurs pour la mise en œuvre de la stratégie nationale de la sécurité routière (corps de contrôle, collectivités locales, etc.)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Piloter et surveiller la réalisation des examens théoriques et pratiques d’obtention du permis de conduire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Assurer le traitement des actes administratifs et la délivrance des services de proximité au citoyen et à l’usager, avec un haut niveau de qualité de service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Assurer la prise en charge et la saisie des réclamations et des déclarations de contrevenants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Assurer un suivi de proximité de l’activité des établissements agréés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 xml:space="preserve">Assurer un </w:t>
            </w:r>
            <w:proofErr w:type="spellStart"/>
            <w:r w:rsidRPr="005F4797">
              <w:rPr>
                <w:rFonts w:ascii="Arial" w:hAnsi="Arial" w:cs="Arial"/>
                <w:sz w:val="24"/>
                <w:szCs w:val="24"/>
              </w:rPr>
              <w:t>reporting</w:t>
            </w:r>
            <w:proofErr w:type="spellEnd"/>
            <w:r w:rsidRPr="005F4797">
              <w:rPr>
                <w:rFonts w:ascii="Arial" w:hAnsi="Arial" w:cs="Arial"/>
                <w:sz w:val="24"/>
                <w:szCs w:val="24"/>
              </w:rPr>
              <w:t xml:space="preserve"> permanent à destination de l’Agence Régionale sur l’activité réalisée et sur les risques de fraude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Identifier les besoins en compétences des agents et les transmettre à l’Agence Régionale pour consolidation dans les plans d’actions régionaux de formation</w:t>
            </w:r>
          </w:p>
          <w:p w:rsidR="00B00C41" w:rsidRPr="005F4797" w:rsidRDefault="00B00C41" w:rsidP="00B00C41">
            <w:pPr>
              <w:numPr>
                <w:ilvl w:val="0"/>
                <w:numId w:val="2"/>
              </w:numPr>
              <w:tabs>
                <w:tab w:val="left" w:pos="171"/>
                <w:tab w:val="num" w:pos="454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4797">
              <w:rPr>
                <w:rFonts w:ascii="Arial" w:hAnsi="Arial" w:cs="Arial"/>
                <w:sz w:val="24"/>
                <w:szCs w:val="24"/>
              </w:rPr>
              <w:t>Gérer les affaires générales et la logistique</w:t>
            </w:r>
          </w:p>
          <w:p w:rsidR="00B00C41" w:rsidRPr="007440AB" w:rsidRDefault="00B00C41" w:rsidP="00C8593C">
            <w:pPr>
              <w:spacing w:after="160" w:line="259" w:lineRule="auto"/>
              <w:ind w:left="284" w:right="318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B00C41" w:rsidRPr="007440AB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32"/>
          <w:szCs w:val="32"/>
        </w:rPr>
      </w:pPr>
      <w:r w:rsidRPr="007440AB">
        <w:rPr>
          <w:rFonts w:asciiTheme="minorBidi" w:hAnsiTheme="minorBidi"/>
          <w:b/>
          <w:bCs/>
          <w:sz w:val="32"/>
          <w:szCs w:val="32"/>
        </w:rPr>
        <w:t>FICHE DE POSTE</w:t>
      </w:r>
    </w:p>
    <w:p w:rsidR="00B00C41" w:rsidRPr="007440AB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18"/>
          <w:szCs w:val="18"/>
        </w:rPr>
      </w:pPr>
    </w:p>
    <w:tbl>
      <w:tblPr>
        <w:tblStyle w:val="Grilledutableau"/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B00C41" w:rsidRPr="007440AB" w:rsidTr="00B00C41">
        <w:trPr>
          <w:trHeight w:val="670"/>
        </w:trPr>
        <w:tc>
          <w:tcPr>
            <w:tcW w:w="2410" w:type="dxa"/>
            <w:shd w:val="clear" w:color="auto" w:fill="BDD6EE" w:themeFill="accent1" w:themeFillTint="66"/>
            <w:vAlign w:val="center"/>
          </w:tcPr>
          <w:p w:rsidR="00B00C41" w:rsidRPr="007440AB" w:rsidRDefault="00B00C41" w:rsidP="00C8593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Entité </w:t>
            </w:r>
            <w:r w:rsidRPr="007440AB">
              <w:rPr>
                <w:rFonts w:ascii="Arial" w:hAnsi="Arial" w:cs="Arial"/>
                <w:b/>
                <w:bCs/>
                <w:sz w:val="24"/>
                <w:szCs w:val="24"/>
              </w:rPr>
              <w:t>d’appartenance</w:t>
            </w:r>
          </w:p>
        </w:tc>
        <w:tc>
          <w:tcPr>
            <w:tcW w:w="7796" w:type="dxa"/>
            <w:shd w:val="clear" w:color="auto" w:fill="BDD6EE" w:themeFill="accent1" w:themeFillTint="66"/>
            <w:vAlign w:val="center"/>
          </w:tcPr>
          <w:p w:rsidR="00B00C41" w:rsidRPr="007440AB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  <w:p w:rsidR="00B00C41" w:rsidRPr="00DA5E17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DA5E17">
              <w:rPr>
                <w:rFonts w:asciiTheme="minorBidi" w:hAnsiTheme="minorBidi"/>
                <w:b/>
                <w:bCs/>
                <w:sz w:val="26"/>
                <w:szCs w:val="26"/>
              </w:rPr>
              <w:t>Agence Régionale de la Sécurité Routière</w:t>
            </w:r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(Tanger-</w:t>
            </w:r>
            <w:proofErr w:type="spellStart"/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Tetouan</w:t>
            </w:r>
            <w:proofErr w:type="spellEnd"/>
            <w:r>
              <w:rPr>
                <w:rFonts w:asciiTheme="minorBidi" w:hAnsiTheme="minorBidi"/>
                <w:b/>
                <w:bCs/>
                <w:sz w:val="26"/>
                <w:szCs w:val="26"/>
              </w:rPr>
              <w:t>-Al Hoceima)</w:t>
            </w:r>
          </w:p>
          <w:p w:rsidR="00B00C41" w:rsidRPr="007440AB" w:rsidRDefault="00B00C41" w:rsidP="00C8593C">
            <w:pPr>
              <w:contextualSpacing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</w:p>
        </w:tc>
      </w:tr>
      <w:tr w:rsidR="00B00C41" w:rsidRPr="007440AB" w:rsidTr="00B00C41">
        <w:trPr>
          <w:trHeight w:val="670"/>
        </w:trPr>
        <w:tc>
          <w:tcPr>
            <w:tcW w:w="2410" w:type="dxa"/>
            <w:shd w:val="clear" w:color="auto" w:fill="0070C0"/>
            <w:vAlign w:val="center"/>
          </w:tcPr>
          <w:p w:rsidR="00B00C41" w:rsidRPr="007440AB" w:rsidRDefault="00B00C41" w:rsidP="00C8593C">
            <w:pPr>
              <w:ind w:left="-108" w:right="-246"/>
              <w:jc w:val="center"/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</w:pPr>
            <w:r w:rsidRPr="007440AB">
              <w:rPr>
                <w:rFonts w:asciiTheme="minorBidi" w:hAnsiTheme="minorBidi"/>
                <w:b/>
                <w:bCs/>
                <w:color w:val="FFFFFF" w:themeColor="background1"/>
                <w:sz w:val="24"/>
                <w:szCs w:val="24"/>
              </w:rPr>
              <w:t>Intitulé du poste à pourvoir</w:t>
            </w:r>
          </w:p>
        </w:tc>
        <w:tc>
          <w:tcPr>
            <w:tcW w:w="7796" w:type="dxa"/>
            <w:shd w:val="clear" w:color="auto" w:fill="0070C0"/>
            <w:vAlign w:val="bottom"/>
          </w:tcPr>
          <w:p w:rsidR="00B00C41" w:rsidRPr="00042E2A" w:rsidRDefault="00B00C41" w:rsidP="00C8593C">
            <w:pPr>
              <w:ind w:left="720" w:right="318"/>
              <w:rPr>
                <w:color w:val="FFFFFF" w:themeColor="background1"/>
              </w:rPr>
            </w:pPr>
          </w:p>
          <w:p w:rsidR="00B00C41" w:rsidRPr="00DA5E17" w:rsidRDefault="00B00C41" w:rsidP="00B00C41">
            <w:pPr>
              <w:tabs>
                <w:tab w:val="left" w:pos="171"/>
              </w:tabs>
              <w:ind w:right="318"/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A5E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Le Service de la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coordination suivi et mise en œuvre de la </w:t>
            </w:r>
            <w:r w:rsidRPr="00DA5E1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stratégie régionale de la sécurité routière</w:t>
            </w:r>
          </w:p>
          <w:p w:rsidR="00B00C41" w:rsidRPr="00042E2A" w:rsidRDefault="00B00C41" w:rsidP="00C8593C">
            <w:pPr>
              <w:tabs>
                <w:tab w:val="left" w:pos="171"/>
                <w:tab w:val="num" w:pos="720"/>
              </w:tabs>
              <w:ind w:left="312" w:right="318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6"/>
                <w:szCs w:val="26"/>
              </w:rPr>
            </w:pPr>
          </w:p>
        </w:tc>
      </w:tr>
      <w:tr w:rsidR="00B00C41" w:rsidRPr="007440AB" w:rsidTr="00B00C41">
        <w:tc>
          <w:tcPr>
            <w:tcW w:w="2410" w:type="dxa"/>
            <w:vAlign w:val="center"/>
          </w:tcPr>
          <w:p w:rsidR="00B00C41" w:rsidRPr="007440AB" w:rsidRDefault="00B00C41" w:rsidP="00C8593C">
            <w:pPr>
              <w:ind w:right="-109"/>
              <w:jc w:val="center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7440AB">
              <w:rPr>
                <w:rFonts w:asciiTheme="minorBidi" w:hAnsiTheme="minorBidi"/>
                <w:b/>
                <w:bCs/>
                <w:sz w:val="26"/>
                <w:szCs w:val="26"/>
              </w:rPr>
              <w:t>Missions Principales</w:t>
            </w:r>
          </w:p>
        </w:tc>
        <w:tc>
          <w:tcPr>
            <w:tcW w:w="7796" w:type="dxa"/>
            <w:vAlign w:val="center"/>
          </w:tcPr>
          <w:p w:rsidR="00B00C41" w:rsidRPr="00042E2A" w:rsidRDefault="00B00C41" w:rsidP="00C8593C">
            <w:pPr>
              <w:tabs>
                <w:tab w:val="left" w:pos="171"/>
              </w:tabs>
              <w:ind w:left="312" w:right="31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41" w:rsidRPr="00DA5E17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E17">
              <w:rPr>
                <w:rFonts w:ascii="Arial" w:hAnsi="Arial" w:cs="Arial"/>
                <w:sz w:val="24"/>
                <w:szCs w:val="24"/>
              </w:rPr>
              <w:t>Piloter et mettre en œuvre la déclinaison régionale de la stratégie nationale de la sécurité routière</w:t>
            </w:r>
          </w:p>
          <w:p w:rsidR="00B00C41" w:rsidRPr="00DA5E17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E17">
              <w:rPr>
                <w:rFonts w:ascii="Arial" w:hAnsi="Arial" w:cs="Arial"/>
                <w:sz w:val="24"/>
                <w:szCs w:val="24"/>
              </w:rPr>
              <w:t>Assurer le secrétariat des Comités Régionaux de la Sécurité Routière</w:t>
            </w:r>
            <w:bookmarkStart w:id="0" w:name="_GoBack"/>
            <w:bookmarkEnd w:id="0"/>
          </w:p>
          <w:p w:rsidR="00B00C41" w:rsidRPr="00DA5E17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E17">
              <w:rPr>
                <w:rFonts w:ascii="Arial" w:hAnsi="Arial" w:cs="Arial"/>
                <w:sz w:val="24"/>
                <w:szCs w:val="24"/>
              </w:rPr>
              <w:t>Assurer la coordination avec les différents acteurs pour la mise en œuvre de la stratégie au niveau régional</w:t>
            </w:r>
          </w:p>
          <w:p w:rsidR="00B00C41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AC6">
              <w:rPr>
                <w:rFonts w:ascii="Arial" w:hAnsi="Arial" w:cs="Arial"/>
                <w:sz w:val="24"/>
                <w:szCs w:val="24"/>
              </w:rPr>
              <w:t xml:space="preserve">Contribuer à la définition et la mise en œuvre des plans d’actions de la sécurité routière au niveau local, </w:t>
            </w:r>
          </w:p>
          <w:p w:rsidR="00B00C41" w:rsidRPr="00F53AC6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3AC6">
              <w:rPr>
                <w:rFonts w:ascii="Arial" w:hAnsi="Arial" w:cs="Arial"/>
                <w:sz w:val="24"/>
                <w:szCs w:val="24"/>
              </w:rPr>
              <w:t>Définir et mettre en œuvre un plan de communication régional, dans le respect du cadre défini au niveau national</w:t>
            </w:r>
          </w:p>
          <w:p w:rsidR="00B00C41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5E17">
              <w:rPr>
                <w:rFonts w:ascii="Arial" w:hAnsi="Arial" w:cs="Arial"/>
                <w:sz w:val="24"/>
                <w:szCs w:val="24"/>
              </w:rPr>
              <w:t xml:space="preserve">Nouer des partenariats avec les acteurs et les opérateurs locaux, en matière de prévention et de sécurité routière, et veiller à leur mise en œuvre </w:t>
            </w:r>
          </w:p>
          <w:p w:rsidR="00B00C41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Animer le réseau associatif au niveau régional et local pour organiser des actions de communication et de sensibilisation des usagers de la route</w:t>
            </w:r>
          </w:p>
          <w:p w:rsidR="00B00C41" w:rsidRDefault="00B00C41" w:rsidP="00B00C41">
            <w:pPr>
              <w:numPr>
                <w:ilvl w:val="0"/>
                <w:numId w:val="2"/>
              </w:numPr>
              <w:tabs>
                <w:tab w:val="clear" w:pos="720"/>
                <w:tab w:val="left" w:pos="171"/>
                <w:tab w:val="num" w:pos="454"/>
                <w:tab w:val="num" w:pos="800"/>
              </w:tabs>
              <w:ind w:left="29" w:right="318"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Elaborer le rapport annuel des indicateurs de performance de service</w:t>
            </w:r>
          </w:p>
          <w:p w:rsidR="00B00C41" w:rsidRPr="00DA5E17" w:rsidRDefault="00B00C41" w:rsidP="00C8593C">
            <w:pPr>
              <w:tabs>
                <w:tab w:val="left" w:pos="171"/>
              </w:tabs>
              <w:ind w:left="312" w:right="31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41" w:rsidRPr="007440AB" w:rsidRDefault="00B00C41" w:rsidP="00C8593C">
            <w:pPr>
              <w:spacing w:after="160" w:line="259" w:lineRule="auto"/>
              <w:ind w:left="284" w:right="318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 w:rsidP="00B00C41">
      <w:pPr>
        <w:ind w:left="284" w:right="-568"/>
        <w:jc w:val="center"/>
        <w:rPr>
          <w:rFonts w:asciiTheme="minorBidi" w:hAnsiTheme="minorBidi"/>
          <w:b/>
          <w:bCs/>
          <w:sz w:val="28"/>
          <w:szCs w:val="28"/>
        </w:rPr>
      </w:pPr>
    </w:p>
    <w:p w:rsidR="00B00C41" w:rsidRDefault="00B00C41"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9905999</wp:posOffset>
                </wp:positionV>
                <wp:extent cx="6248400" cy="0"/>
                <wp:effectExtent l="0" t="0" r="19050" b="19050"/>
                <wp:wrapNone/>
                <wp:docPr id="3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06D71" id="Connecteur droit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5pt,780pt" to="544.5pt,7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" strokecolor="#1f4d78 [1604]" strokeweight="1.5pt">
                <v:stroke joinstyle="miter"/>
                <o:lock v:ext="edit" shapetype="f"/>
              </v:line>
            </w:pict>
          </mc:Fallback>
        </mc:AlternateContent>
      </w:r>
    </w:p>
    <w:sectPr w:rsidR="00B00C41" w:rsidSect="00B00C41">
      <w:headerReference w:type="default" r:id="rId7"/>
      <w:footerReference w:type="default" r:id="rId8"/>
      <w:pgSz w:w="11906" w:h="16838"/>
      <w:pgMar w:top="1417" w:right="1417" w:bottom="1417" w:left="1417" w:header="708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61" w:rsidRDefault="00823961" w:rsidP="00B00C41">
      <w:pPr>
        <w:spacing w:after="0" w:line="240" w:lineRule="auto"/>
      </w:pPr>
      <w:r>
        <w:separator/>
      </w:r>
    </w:p>
  </w:endnote>
  <w:endnote w:type="continuationSeparator" w:id="0">
    <w:p w:rsidR="00823961" w:rsidRDefault="00823961" w:rsidP="00B0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41" w:rsidRDefault="00B00C41" w:rsidP="00B00C41">
    <w:pPr>
      <w:spacing w:after="0" w:line="240" w:lineRule="auto"/>
      <w:jc w:val="center"/>
      <w:rPr>
        <w:b/>
        <w:bCs/>
        <w:color w:val="2F5496" w:themeColor="accent5" w:themeShade="BF"/>
        <w:sz w:val="18"/>
        <w:szCs w:val="18"/>
      </w:rPr>
    </w:pPr>
  </w:p>
  <w:p w:rsidR="00B00C41" w:rsidRPr="00024F79" w:rsidRDefault="00B00C41" w:rsidP="00B00C41">
    <w:pPr>
      <w:spacing w:after="0" w:line="240" w:lineRule="auto"/>
      <w:jc w:val="center"/>
      <w:rPr>
        <w:b/>
        <w:bCs/>
        <w:color w:val="2F5496" w:themeColor="accent5" w:themeShade="BF"/>
        <w:sz w:val="18"/>
        <w:szCs w:val="18"/>
      </w:rPr>
    </w:pPr>
    <w:r w:rsidRPr="00024F79">
      <w:rPr>
        <w:b/>
        <w:bCs/>
        <w:color w:val="2F5496" w:themeColor="accent5" w:themeShade="BF"/>
        <w:sz w:val="18"/>
        <w:szCs w:val="18"/>
      </w:rPr>
      <w:t xml:space="preserve">Avenue Al </w:t>
    </w:r>
    <w:proofErr w:type="spellStart"/>
    <w:r w:rsidRPr="00024F79">
      <w:rPr>
        <w:b/>
        <w:bCs/>
        <w:color w:val="2F5496" w:themeColor="accent5" w:themeShade="BF"/>
        <w:sz w:val="18"/>
        <w:szCs w:val="18"/>
      </w:rPr>
      <w:t>Araâr</w:t>
    </w:r>
    <w:proofErr w:type="spellEnd"/>
    <w:r w:rsidRPr="00024F79">
      <w:rPr>
        <w:b/>
        <w:bCs/>
        <w:color w:val="2F5496" w:themeColor="accent5" w:themeShade="BF"/>
        <w:sz w:val="18"/>
        <w:szCs w:val="18"/>
      </w:rPr>
      <w:t>, Hay Riad– Rabat</w:t>
    </w:r>
  </w:p>
  <w:p w:rsidR="00B00C41" w:rsidRDefault="00B00C41" w:rsidP="00B00C41">
    <w:pPr>
      <w:spacing w:after="0" w:line="240" w:lineRule="auto"/>
      <w:jc w:val="center"/>
      <w:rPr>
        <w:b/>
        <w:bCs/>
        <w:color w:val="2F5496" w:themeColor="accent5" w:themeShade="BF"/>
        <w:sz w:val="18"/>
        <w:szCs w:val="18"/>
      </w:rPr>
    </w:pPr>
    <w:r w:rsidRPr="00024F79">
      <w:rPr>
        <w:b/>
        <w:bCs/>
        <w:color w:val="2F5496" w:themeColor="accent5" w:themeShade="BF"/>
        <w:sz w:val="18"/>
        <w:szCs w:val="18"/>
      </w:rPr>
      <w:t>Tél. : +(212) 5 37 71 22 80/ 01-Fax : +(212) 5 37 71 69 53 / 71 20 13</w:t>
    </w:r>
  </w:p>
  <w:p w:rsidR="00B00C41" w:rsidRPr="00024F79" w:rsidRDefault="00B00C41" w:rsidP="00B00C41">
    <w:pPr>
      <w:spacing w:after="0" w:line="240" w:lineRule="auto"/>
      <w:jc w:val="center"/>
      <w:rPr>
        <w:b/>
        <w:bCs/>
        <w:color w:val="2F5496" w:themeColor="accent5" w:themeShade="BF"/>
        <w:sz w:val="18"/>
        <w:szCs w:val="18"/>
      </w:rPr>
    </w:pPr>
    <w:r>
      <w:rPr>
        <w:b/>
        <w:bCs/>
        <w:color w:val="2F5496" w:themeColor="accent5" w:themeShade="BF"/>
        <w:sz w:val="18"/>
        <w:szCs w:val="18"/>
      </w:rPr>
      <w:t>contact@narsa.gov.ma</w:t>
    </w:r>
  </w:p>
  <w:p w:rsidR="00B00C41" w:rsidRPr="00B47771" w:rsidRDefault="00B00C41" w:rsidP="00B00C41">
    <w:pPr>
      <w:spacing w:after="0" w:line="240" w:lineRule="auto"/>
      <w:jc w:val="center"/>
      <w:rPr>
        <w:b/>
        <w:bCs/>
        <w:color w:val="2F5496" w:themeColor="accent5" w:themeShade="BF"/>
        <w:sz w:val="18"/>
        <w:szCs w:val="18"/>
        <w:u w:val="single"/>
      </w:rPr>
    </w:pPr>
    <w:r w:rsidRPr="00B47771">
      <w:rPr>
        <w:b/>
        <w:bCs/>
        <w:color w:val="2F5496" w:themeColor="accent5" w:themeShade="BF"/>
        <w:sz w:val="18"/>
        <w:szCs w:val="18"/>
        <w:u w:val="single"/>
      </w:rPr>
      <w:t>www.narsa.ma</w:t>
    </w:r>
  </w:p>
  <w:p w:rsidR="00B00C41" w:rsidRDefault="00B00C4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61" w:rsidRDefault="00823961" w:rsidP="00B00C41">
      <w:pPr>
        <w:spacing w:after="0" w:line="240" w:lineRule="auto"/>
      </w:pPr>
      <w:r>
        <w:separator/>
      </w:r>
    </w:p>
  </w:footnote>
  <w:footnote w:type="continuationSeparator" w:id="0">
    <w:p w:rsidR="00823961" w:rsidRDefault="00823961" w:rsidP="00B00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1" w:rightFromText="141" w:horzAnchor="margin" w:tblpXSpec="center" w:tblpY="-1305"/>
      <w:tblW w:w="110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3293"/>
      <w:gridCol w:w="3544"/>
    </w:tblGrid>
    <w:tr w:rsidR="00B00C41" w:rsidRPr="000242FF" w:rsidTr="00C8593C">
      <w:tc>
        <w:tcPr>
          <w:tcW w:w="4219" w:type="dxa"/>
        </w:tcPr>
        <w:p w:rsidR="00B00C41" w:rsidRPr="000242FF" w:rsidRDefault="00B00C41" w:rsidP="00B00C41">
          <w:pPr>
            <w:spacing w:before="40" w:after="120"/>
            <w:jc w:val="center"/>
            <w:rPr>
              <w:rFonts w:ascii="Book Antiqua" w:hAnsi="Book Antiqua"/>
              <w:sz w:val="20"/>
              <w:szCs w:val="20"/>
            </w:rPr>
          </w:pPr>
          <w:r w:rsidRPr="000242FF">
            <w:rPr>
              <w:rFonts w:ascii="Book Antiqua" w:hAnsi="Book Antiqua"/>
              <w:b/>
              <w:bCs/>
              <w:sz w:val="20"/>
              <w:szCs w:val="20"/>
              <w:u w:val="single"/>
            </w:rPr>
            <w:t>Royaume du Maroc</w:t>
          </w:r>
        </w:p>
      </w:tc>
      <w:tc>
        <w:tcPr>
          <w:tcW w:w="3293" w:type="dxa"/>
          <w:vMerge w:val="restart"/>
        </w:tcPr>
        <w:p w:rsidR="00B00C41" w:rsidRPr="000242FF" w:rsidRDefault="00B00C41" w:rsidP="00B00C41">
          <w:pPr>
            <w:spacing w:before="40" w:after="120"/>
            <w:jc w:val="center"/>
            <w:rPr>
              <w:rFonts w:ascii="Book Antiqua" w:hAnsi="Book Antiqua"/>
              <w:sz w:val="20"/>
              <w:szCs w:val="20"/>
            </w:rPr>
          </w:pPr>
          <w:r w:rsidRPr="000242FF">
            <w:rPr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6DCFD756" wp14:editId="5984F1DB">
                <wp:simplePos x="0" y="0"/>
                <wp:positionH relativeFrom="column">
                  <wp:posOffset>572770</wp:posOffset>
                </wp:positionH>
                <wp:positionV relativeFrom="paragraph">
                  <wp:posOffset>42545</wp:posOffset>
                </wp:positionV>
                <wp:extent cx="718820" cy="737235"/>
                <wp:effectExtent l="0" t="0" r="5080" b="5715"/>
                <wp:wrapTight wrapText="bothSides">
                  <wp:wrapPolygon edited="0">
                    <wp:start x="0" y="0"/>
                    <wp:lineTo x="0" y="21209"/>
                    <wp:lineTo x="21180" y="21209"/>
                    <wp:lineTo x="21180" y="0"/>
                    <wp:lineTo x="0" y="0"/>
                  </wp:wrapPolygon>
                </wp:wrapTight>
                <wp:docPr id="2" name="Image 2" descr="C:\Users\secgeneral\Desktop\untitled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C:\Users\secgeneral\Desktop\untitled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737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4" w:type="dxa"/>
        </w:tcPr>
        <w:p w:rsidR="00B00C41" w:rsidRPr="000242FF" w:rsidRDefault="00B00C41" w:rsidP="00B00C41">
          <w:pPr>
            <w:spacing w:before="40" w:after="120"/>
            <w:jc w:val="center"/>
            <w:rPr>
              <w:rFonts w:ascii="Book Antiqua" w:hAnsi="Book Antiqua"/>
              <w:sz w:val="20"/>
              <w:szCs w:val="20"/>
            </w:rPr>
          </w:pPr>
          <w:r w:rsidRPr="000242FF">
            <w:rPr>
              <w:rFonts w:ascii="Book Antiqua" w:hAnsi="Book Antiqua"/>
              <w:b/>
              <w:bCs/>
              <w:sz w:val="20"/>
              <w:szCs w:val="20"/>
              <w:u w:val="single"/>
              <w:rtl/>
            </w:rPr>
            <w:t>المملكة المغربية</w:t>
          </w:r>
        </w:p>
      </w:tc>
    </w:tr>
    <w:tr w:rsidR="00B00C41" w:rsidRPr="000242FF" w:rsidTr="00C8593C">
      <w:tc>
        <w:tcPr>
          <w:tcW w:w="4219" w:type="dxa"/>
          <w:tcBorders>
            <w:bottom w:val="single" w:sz="12" w:space="0" w:color="2E74B5" w:themeColor="accent1" w:themeShade="BF"/>
          </w:tcBorders>
        </w:tcPr>
        <w:p w:rsidR="00B00C41" w:rsidRPr="000242FF" w:rsidRDefault="00B00C41" w:rsidP="00B00C41">
          <w:pPr>
            <w:spacing w:after="60"/>
            <w:jc w:val="center"/>
            <w:rPr>
              <w:rFonts w:ascii="Book Antiqua" w:hAnsi="Book Antiqua"/>
              <w:sz w:val="20"/>
              <w:szCs w:val="20"/>
            </w:rPr>
          </w:pPr>
          <w:r>
            <w:rPr>
              <w:rFonts w:ascii="Book Antiqua" w:hAnsi="Book Antiqua"/>
              <w:b/>
              <w:bCs/>
              <w:sz w:val="20"/>
              <w:szCs w:val="20"/>
            </w:rPr>
            <w:t>Ministère</w:t>
          </w:r>
          <w:r>
            <w:rPr>
              <w:rFonts w:ascii="Book Antiqua" w:hAnsi="Book Antiqua" w:hint="cs"/>
              <w:b/>
              <w:bCs/>
              <w:sz w:val="20"/>
              <w:szCs w:val="20"/>
              <w:rtl/>
            </w:rPr>
            <w:t xml:space="preserve"> </w:t>
          </w:r>
          <w:r w:rsidRPr="000242FF">
            <w:rPr>
              <w:rFonts w:ascii="Book Antiqua" w:hAnsi="Book Antiqua"/>
              <w:b/>
              <w:bCs/>
              <w:sz w:val="20"/>
              <w:szCs w:val="20"/>
            </w:rPr>
            <w:t>du Tr</w:t>
          </w:r>
          <w:r>
            <w:rPr>
              <w:rFonts w:ascii="Book Antiqua" w:hAnsi="Book Antiqua"/>
              <w:b/>
              <w:bCs/>
              <w:sz w:val="20"/>
              <w:szCs w:val="20"/>
            </w:rPr>
            <w:t>ansport et de la Logistique</w:t>
          </w:r>
        </w:p>
      </w:tc>
      <w:tc>
        <w:tcPr>
          <w:tcW w:w="3293" w:type="dxa"/>
          <w:vMerge/>
        </w:tcPr>
        <w:p w:rsidR="00B00C41" w:rsidRPr="000242FF" w:rsidRDefault="00B00C41" w:rsidP="00B00C41">
          <w:pPr>
            <w:spacing w:after="60"/>
            <w:jc w:val="center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3544" w:type="dxa"/>
          <w:tcBorders>
            <w:bottom w:val="single" w:sz="12" w:space="0" w:color="2E74B5" w:themeColor="accent1" w:themeShade="BF"/>
          </w:tcBorders>
          <w:vAlign w:val="center"/>
        </w:tcPr>
        <w:p w:rsidR="00B00C41" w:rsidRPr="000242FF" w:rsidRDefault="00B00C41" w:rsidP="00B00C41">
          <w:pPr>
            <w:spacing w:after="60"/>
            <w:jc w:val="center"/>
            <w:rPr>
              <w:rFonts w:ascii="Book Antiqua" w:hAnsi="Book Antiqua"/>
              <w:sz w:val="20"/>
              <w:szCs w:val="20"/>
            </w:rPr>
          </w:pPr>
          <w:r w:rsidRPr="000242FF">
            <w:rPr>
              <w:rFonts w:ascii="Book Antiqua" w:hAnsi="Book Antiqua"/>
              <w:b/>
              <w:bCs/>
              <w:sz w:val="20"/>
              <w:szCs w:val="20"/>
              <w:rtl/>
            </w:rPr>
            <w:t xml:space="preserve">وزارة النقل واللوجستيك </w:t>
          </w:r>
        </w:p>
      </w:tc>
    </w:tr>
    <w:tr w:rsidR="00B00C41" w:rsidRPr="000242FF" w:rsidTr="00C8593C">
      <w:tc>
        <w:tcPr>
          <w:tcW w:w="4219" w:type="dxa"/>
          <w:tcBorders>
            <w:top w:val="single" w:sz="12" w:space="0" w:color="2E74B5" w:themeColor="accent1" w:themeShade="BF"/>
          </w:tcBorders>
        </w:tcPr>
        <w:p w:rsidR="00B00C41" w:rsidRPr="000242FF" w:rsidRDefault="00B00C41" w:rsidP="00B00C41">
          <w:pPr>
            <w:spacing w:before="40"/>
            <w:jc w:val="center"/>
            <w:rPr>
              <w:rFonts w:ascii="Book Antiqua" w:hAnsi="Book Antiqua" w:cs="Arial"/>
              <w:color w:val="0070C0"/>
              <w:sz w:val="20"/>
              <w:szCs w:val="20"/>
              <w:lang w:bidi="ar-MA"/>
            </w:rPr>
          </w:pPr>
          <w:r w:rsidRPr="000242FF">
            <w:rPr>
              <w:rFonts w:ascii="Book Antiqua" w:hAnsi="Book Antiqua" w:cstheme="minorHAnsi"/>
              <w:b/>
              <w:bCs/>
              <w:color w:val="1F4E79" w:themeColor="accent1" w:themeShade="80"/>
              <w:sz w:val="20"/>
              <w:szCs w:val="20"/>
            </w:rPr>
            <w:t>Agence Nationale de la Sécurité Routière</w:t>
          </w:r>
        </w:p>
      </w:tc>
      <w:tc>
        <w:tcPr>
          <w:tcW w:w="3293" w:type="dxa"/>
          <w:vMerge/>
        </w:tcPr>
        <w:p w:rsidR="00B00C41" w:rsidRPr="000242FF" w:rsidRDefault="00B00C41" w:rsidP="00B00C41">
          <w:pPr>
            <w:spacing w:before="40"/>
            <w:jc w:val="center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3544" w:type="dxa"/>
          <w:tcBorders>
            <w:top w:val="single" w:sz="12" w:space="0" w:color="2E74B5" w:themeColor="accent1" w:themeShade="BF"/>
          </w:tcBorders>
        </w:tcPr>
        <w:p w:rsidR="00B00C41" w:rsidRPr="000242FF" w:rsidRDefault="00B00C41" w:rsidP="00B00C41">
          <w:pPr>
            <w:spacing w:before="40"/>
            <w:jc w:val="center"/>
            <w:rPr>
              <w:rFonts w:ascii="Book Antiqua" w:hAnsi="Book Antiqua" w:cstheme="minorHAnsi"/>
              <w:b/>
              <w:bCs/>
              <w:color w:val="1F4E79" w:themeColor="accent1" w:themeShade="80"/>
              <w:sz w:val="20"/>
              <w:szCs w:val="20"/>
            </w:rPr>
          </w:pPr>
          <w:r w:rsidRPr="000242FF">
            <w:rPr>
              <w:rFonts w:ascii="Book Antiqua" w:hAnsi="Book Antiqua" w:cs="Times New Roman" w:hint="cs"/>
              <w:b/>
              <w:bCs/>
              <w:color w:val="1F4E79" w:themeColor="accent1" w:themeShade="80"/>
              <w:sz w:val="20"/>
              <w:szCs w:val="20"/>
              <w:rtl/>
            </w:rPr>
            <w:t>الوكالة الوطنية للسلامة الطرقية</w:t>
          </w:r>
        </w:p>
      </w:tc>
    </w:tr>
  </w:tbl>
  <w:p w:rsidR="00B00C41" w:rsidRDefault="00B00C4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168C2"/>
    <w:multiLevelType w:val="hybridMultilevel"/>
    <w:tmpl w:val="5810D006"/>
    <w:lvl w:ilvl="0" w:tplc="FE96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8E1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05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2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4A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A4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A2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C5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D67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B07D76"/>
    <w:multiLevelType w:val="hybridMultilevel"/>
    <w:tmpl w:val="DD386678"/>
    <w:lvl w:ilvl="0" w:tplc="8AF8C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8F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341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4BB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0E4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AF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A1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2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6A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157DA4"/>
    <w:multiLevelType w:val="hybridMultilevel"/>
    <w:tmpl w:val="AED83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CE"/>
    <w:rsid w:val="000608CE"/>
    <w:rsid w:val="004052FD"/>
    <w:rsid w:val="00823961"/>
    <w:rsid w:val="00B0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E106A3-BA9F-4822-B29B-39FEB2E0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00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B00C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B00C4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0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C41"/>
  </w:style>
  <w:style w:type="paragraph" w:styleId="Pieddepage">
    <w:name w:val="footer"/>
    <w:basedOn w:val="Normal"/>
    <w:link w:val="PieddepageCar"/>
    <w:uiPriority w:val="99"/>
    <w:unhideWhenUsed/>
    <w:rsid w:val="00B00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2023-11-24T15:41:00Z</dcterms:created>
  <dcterms:modified xsi:type="dcterms:W3CDTF">2023-11-24T15:45:00Z</dcterms:modified>
</cp:coreProperties>
</file>